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AA7F" w14:textId="5205CD6C" w:rsidR="00C82FFE" w:rsidRDefault="00C82FFE" w:rsidP="00B35C4F">
      <w:pPr>
        <w:jc w:val="center"/>
      </w:pPr>
    </w:p>
    <w:p w14:paraId="43A692A2" w14:textId="77777777" w:rsidR="00373F8D" w:rsidRDefault="00373F8D" w:rsidP="00B35C4F">
      <w:pPr>
        <w:jc w:val="center"/>
      </w:pPr>
    </w:p>
    <w:p w14:paraId="43610F04" w14:textId="6EE0D79F" w:rsidR="00B35C4F" w:rsidRDefault="0098218F" w:rsidP="00B35C4F">
      <w:pPr>
        <w:jc w:val="center"/>
        <w:rPr>
          <w:b/>
          <w:bCs/>
        </w:rPr>
      </w:pPr>
      <w:bookmarkStart w:id="0" w:name="_Hlk26272952"/>
      <w:r>
        <w:rPr>
          <w:b/>
          <w:bCs/>
        </w:rPr>
        <w:t>GOVERNANCE:</w:t>
      </w:r>
    </w:p>
    <w:p w14:paraId="42BCDDE1" w14:textId="2D114E2D" w:rsidR="0098218F" w:rsidRPr="0098218F" w:rsidRDefault="0098218F" w:rsidP="00B35C4F">
      <w:pPr>
        <w:jc w:val="center"/>
        <w:rPr>
          <w:b/>
          <w:bCs/>
        </w:rPr>
      </w:pPr>
      <w:r>
        <w:rPr>
          <w:b/>
          <w:bCs/>
        </w:rPr>
        <w:t>Establishing Governance Perimeters to Avoid Potential Conflicts of Interests and Other Legal Hazards</w:t>
      </w:r>
      <w:bookmarkStart w:id="1" w:name="_GoBack"/>
      <w:bookmarkEnd w:id="1"/>
    </w:p>
    <w:bookmarkEnd w:id="0"/>
    <w:p w14:paraId="5316AD38" w14:textId="066233AA" w:rsidR="00B35C4F" w:rsidRDefault="00B35C4F" w:rsidP="0098218F">
      <w:pPr>
        <w:jc w:val="center"/>
      </w:pPr>
      <w:r w:rsidRPr="00B35C4F">
        <w:t>Dawn Crowell</w:t>
      </w:r>
      <w:r>
        <w:t xml:space="preserve"> Murphy</w:t>
      </w:r>
    </w:p>
    <w:p w14:paraId="0064AA46" w14:textId="59DD3F6D" w:rsidR="0098218F" w:rsidRDefault="0098218F" w:rsidP="0098218F">
      <w:pPr>
        <w:jc w:val="center"/>
      </w:pPr>
      <w:r>
        <w:t>Pillsbury Winthrop Shaw Pittman LLP</w:t>
      </w:r>
    </w:p>
    <w:p w14:paraId="17D70E9E" w14:textId="4542B8B0" w:rsidR="0098218F" w:rsidRDefault="0098218F" w:rsidP="0098218F">
      <w:pPr>
        <w:jc w:val="center"/>
      </w:pPr>
      <w:r>
        <w:t>December 4, 2019</w:t>
      </w:r>
    </w:p>
    <w:p w14:paraId="51B76696" w14:textId="2BB402F1" w:rsidR="00B35C4F" w:rsidRDefault="00B35C4F" w:rsidP="00B35C4F">
      <w:r>
        <w:t xml:space="preserve"> </w:t>
      </w:r>
    </w:p>
    <w:p w14:paraId="33E1AA93" w14:textId="77777777" w:rsidR="0098218F" w:rsidRDefault="0098218F" w:rsidP="00B35C4F"/>
    <w:p w14:paraId="2FA108E6" w14:textId="55B3D4D6" w:rsidR="00AE2EB4" w:rsidRDefault="00AE2EB4" w:rsidP="00AE2EB4">
      <w:pPr>
        <w:pStyle w:val="ListParagraph"/>
        <w:numPr>
          <w:ilvl w:val="0"/>
          <w:numId w:val="3"/>
        </w:numPr>
        <w:rPr>
          <w:b/>
          <w:bCs/>
          <w:color w:val="7030A0"/>
        </w:rPr>
      </w:pPr>
      <w:bookmarkStart w:id="2" w:name="_Hlk23951088"/>
      <w:r w:rsidRPr="0098218F">
        <w:rPr>
          <w:b/>
          <w:bCs/>
          <w:color w:val="7030A0"/>
        </w:rPr>
        <w:t>Legal dangers from being “controlled”</w:t>
      </w:r>
    </w:p>
    <w:p w14:paraId="0F2EB98B" w14:textId="09F8737D" w:rsidR="00487905" w:rsidRPr="00961329" w:rsidRDefault="00487905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Conflicts of interests</w:t>
      </w:r>
    </w:p>
    <w:p w14:paraId="1B73422D" w14:textId="2FBE81EE" w:rsidR="00961329" w:rsidRPr="00487905" w:rsidRDefault="00961329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Antitrust</w:t>
      </w:r>
    </w:p>
    <w:p w14:paraId="105FD30E" w14:textId="2F4C5671" w:rsidR="00487905" w:rsidRPr="00961329" w:rsidRDefault="00487905" w:rsidP="00961329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Agency liability</w:t>
      </w:r>
    </w:p>
    <w:p w14:paraId="57B9142D" w14:textId="77777777" w:rsidR="00961329" w:rsidRPr="00487905" w:rsidRDefault="00961329" w:rsidP="00961329">
      <w:pPr>
        <w:pStyle w:val="ListParagraph"/>
        <w:ind w:left="1800"/>
        <w:rPr>
          <w:b/>
          <w:bCs/>
          <w:color w:val="7030A0"/>
        </w:rPr>
      </w:pPr>
    </w:p>
    <w:bookmarkEnd w:id="2"/>
    <w:p w14:paraId="6D04F322" w14:textId="5F7251A2" w:rsidR="00AE2EB4" w:rsidRDefault="00AE2EB4" w:rsidP="00AE2EB4">
      <w:pPr>
        <w:pStyle w:val="ListParagraph"/>
        <w:numPr>
          <w:ilvl w:val="0"/>
          <w:numId w:val="3"/>
        </w:numPr>
        <w:rPr>
          <w:b/>
          <w:bCs/>
          <w:color w:val="7030A0"/>
        </w:rPr>
      </w:pPr>
      <w:r w:rsidRPr="0098218F">
        <w:rPr>
          <w:b/>
          <w:bCs/>
          <w:color w:val="7030A0"/>
        </w:rPr>
        <w:t>Achieving autonomy – separate incorporation vs. unincorporated program</w:t>
      </w:r>
    </w:p>
    <w:p w14:paraId="3FB29F26" w14:textId="5F6A191F" w:rsidR="00487905" w:rsidRPr="005131E4" w:rsidRDefault="00534987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Requirement for “administrative independence” in essential certification decisions</w:t>
      </w:r>
    </w:p>
    <w:p w14:paraId="0452A94F" w14:textId="3AB73EDB" w:rsidR="005131E4" w:rsidRPr="005363D5" w:rsidRDefault="005131E4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Separate incorporation – provides legal protection, demonstrates independence</w:t>
      </w:r>
    </w:p>
    <w:p w14:paraId="22F32C74" w14:textId="018E2FFC" w:rsidR="005363D5" w:rsidRPr="00534987" w:rsidRDefault="005363D5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 xml:space="preserve">Unincorporated program – need “functional autonomy” </w:t>
      </w:r>
    </w:p>
    <w:p w14:paraId="40A794D3" w14:textId="77777777" w:rsidR="00534987" w:rsidRPr="0098218F" w:rsidRDefault="00534987" w:rsidP="00534987">
      <w:pPr>
        <w:pStyle w:val="ListParagraph"/>
        <w:ind w:left="1800"/>
        <w:rPr>
          <w:b/>
          <w:bCs/>
          <w:color w:val="7030A0"/>
        </w:rPr>
      </w:pPr>
    </w:p>
    <w:p w14:paraId="629F5B6A" w14:textId="28B4474E" w:rsidR="00B35C4F" w:rsidRDefault="00B35C4F" w:rsidP="00B35C4F">
      <w:pPr>
        <w:pStyle w:val="ListParagraph"/>
        <w:numPr>
          <w:ilvl w:val="0"/>
          <w:numId w:val="3"/>
        </w:numPr>
        <w:rPr>
          <w:b/>
          <w:bCs/>
          <w:color w:val="7030A0"/>
        </w:rPr>
      </w:pPr>
      <w:bookmarkStart w:id="3" w:name="_Hlk26273703"/>
      <w:r w:rsidRPr="0098218F">
        <w:rPr>
          <w:b/>
          <w:bCs/>
          <w:color w:val="7030A0"/>
        </w:rPr>
        <w:t xml:space="preserve">What constitutes </w:t>
      </w:r>
      <w:r w:rsidR="00AE2EB4" w:rsidRPr="0098218F">
        <w:rPr>
          <w:b/>
          <w:bCs/>
          <w:color w:val="7030A0"/>
        </w:rPr>
        <w:t>“</w:t>
      </w:r>
      <w:r w:rsidRPr="0098218F">
        <w:rPr>
          <w:b/>
          <w:bCs/>
          <w:color w:val="7030A0"/>
        </w:rPr>
        <w:t>undue influence</w:t>
      </w:r>
      <w:r w:rsidR="00AE2EB4" w:rsidRPr="0098218F">
        <w:rPr>
          <w:b/>
          <w:bCs/>
          <w:color w:val="7030A0"/>
        </w:rPr>
        <w:t>”</w:t>
      </w:r>
      <w:r w:rsidRPr="0098218F">
        <w:rPr>
          <w:b/>
          <w:bCs/>
          <w:color w:val="7030A0"/>
        </w:rPr>
        <w:t xml:space="preserve"> by a parent board?</w:t>
      </w:r>
    </w:p>
    <w:bookmarkEnd w:id="3"/>
    <w:p w14:paraId="2720382E" w14:textId="0E5A4257" w:rsidR="00487905" w:rsidRPr="00603C8E" w:rsidRDefault="00945A0D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Inappropriate pressure to adjust certification standards</w:t>
      </w:r>
      <w:r>
        <w:t xml:space="preserve"> or other aspects of certification</w:t>
      </w:r>
    </w:p>
    <w:p w14:paraId="37AFC000" w14:textId="572B3FE4" w:rsidR="00603C8E" w:rsidRPr="00BE22F5" w:rsidRDefault="00603C8E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Evidenced by controlling the certification board – appointing a majority</w:t>
      </w:r>
    </w:p>
    <w:p w14:paraId="313EDF34" w14:textId="4000AD70" w:rsidR="00BE22F5" w:rsidRPr="00945A0D" w:rsidRDefault="00BE22F5" w:rsidP="00487905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Program veto or financial authority</w:t>
      </w:r>
    </w:p>
    <w:p w14:paraId="690AE91B" w14:textId="02443963" w:rsidR="00945A0D" w:rsidRPr="0098218F" w:rsidRDefault="00945A0D" w:rsidP="00603C8E">
      <w:pPr>
        <w:pStyle w:val="ListParagraph"/>
        <w:ind w:left="1800"/>
        <w:rPr>
          <w:b/>
          <w:bCs/>
          <w:color w:val="7030A0"/>
        </w:rPr>
      </w:pPr>
    </w:p>
    <w:p w14:paraId="1682DE75" w14:textId="6155733B" w:rsidR="00B35C4F" w:rsidRDefault="00AE2EB4" w:rsidP="00B35C4F">
      <w:pPr>
        <w:pStyle w:val="ListParagraph"/>
        <w:numPr>
          <w:ilvl w:val="0"/>
          <w:numId w:val="3"/>
        </w:numPr>
        <w:rPr>
          <w:b/>
          <w:bCs/>
          <w:color w:val="7030A0"/>
        </w:rPr>
      </w:pPr>
      <w:r w:rsidRPr="0098218F">
        <w:rPr>
          <w:b/>
          <w:bCs/>
          <w:color w:val="7030A0"/>
        </w:rPr>
        <w:t>Effectively working together with a</w:t>
      </w:r>
      <w:r w:rsidR="00B35C4F" w:rsidRPr="0098218F">
        <w:rPr>
          <w:b/>
          <w:bCs/>
          <w:color w:val="7030A0"/>
        </w:rPr>
        <w:t xml:space="preserve"> parent board </w:t>
      </w:r>
      <w:r w:rsidRPr="0098218F">
        <w:rPr>
          <w:b/>
          <w:bCs/>
          <w:color w:val="7030A0"/>
        </w:rPr>
        <w:t xml:space="preserve">or related organization </w:t>
      </w:r>
    </w:p>
    <w:p w14:paraId="26328277" w14:textId="0A325395" w:rsidR="00D62EC6" w:rsidRPr="00603C8E" w:rsidRDefault="00961329" w:rsidP="00D62EC6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Clear governing documents</w:t>
      </w:r>
    </w:p>
    <w:p w14:paraId="3F83C40D" w14:textId="77777777" w:rsidR="00603C8E" w:rsidRPr="0098218F" w:rsidRDefault="00603C8E" w:rsidP="00603C8E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Sharing resources</w:t>
      </w:r>
    </w:p>
    <w:p w14:paraId="7EC65C40" w14:textId="2A140282" w:rsidR="00961329" w:rsidRPr="00961329" w:rsidRDefault="00961329" w:rsidP="00D62EC6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Written agreements, distinction of roles and responsibilities</w:t>
      </w:r>
    </w:p>
    <w:p w14:paraId="5CB0EFBE" w14:textId="57ED495B" w:rsidR="00961329" w:rsidRPr="00603C8E" w:rsidRDefault="00961329" w:rsidP="00D62EC6">
      <w:pPr>
        <w:pStyle w:val="ListParagraph"/>
        <w:numPr>
          <w:ilvl w:val="1"/>
          <w:numId w:val="3"/>
        </w:numPr>
        <w:rPr>
          <w:b/>
          <w:bCs/>
          <w:color w:val="7030A0"/>
        </w:rPr>
      </w:pPr>
      <w:r>
        <w:t>Onboarding and continued communication</w:t>
      </w:r>
    </w:p>
    <w:p w14:paraId="4EFF7C9D" w14:textId="77777777" w:rsidR="00B35C4F" w:rsidRDefault="00B35C4F" w:rsidP="00B35C4F"/>
    <w:sectPr w:rsidR="00B35C4F" w:rsidSect="00C82FFE">
      <w:headerReference w:type="first" r:id="rId7"/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7326" w14:textId="77777777" w:rsidR="00A4096C" w:rsidRDefault="00A4096C" w:rsidP="00B35C4F">
      <w:r>
        <w:separator/>
      </w:r>
    </w:p>
  </w:endnote>
  <w:endnote w:type="continuationSeparator" w:id="0">
    <w:p w14:paraId="57FEC9E7" w14:textId="77777777" w:rsidR="00A4096C" w:rsidRDefault="00A4096C" w:rsidP="00B3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C0DA" w14:textId="77777777" w:rsidR="00A4096C" w:rsidRDefault="00A4096C" w:rsidP="00B35C4F">
      <w:r>
        <w:separator/>
      </w:r>
    </w:p>
  </w:footnote>
  <w:footnote w:type="continuationSeparator" w:id="0">
    <w:p w14:paraId="0DE1D654" w14:textId="77777777" w:rsidR="00A4096C" w:rsidRDefault="00A4096C" w:rsidP="00B3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4C6" w14:textId="7D162FB7" w:rsidR="00673319" w:rsidRDefault="00673319" w:rsidP="00673319">
    <w:pPr>
      <w:tabs>
        <w:tab w:val="left" w:pos="1816"/>
      </w:tabs>
      <w:jc w:val="both"/>
      <w:rPr>
        <w:b/>
        <w:bCs/>
      </w:rPr>
    </w:pPr>
    <w:r>
      <w:rPr>
        <w:rFonts w:ascii="Arial" w:hAnsi="Arial" w:cs="Arial"/>
        <w:noProof/>
        <w:color w:val="000000"/>
        <w:sz w:val="28"/>
        <w:szCs w:val="28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C768798" wp14:editId="049BC7F8">
          <wp:simplePos x="0" y="0"/>
          <wp:positionH relativeFrom="column">
            <wp:posOffset>56515</wp:posOffset>
          </wp:positionH>
          <wp:positionV relativeFrom="paragraph">
            <wp:posOffset>3810</wp:posOffset>
          </wp:positionV>
          <wp:extent cx="1828800" cy="5353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38982480" w14:textId="77777777" w:rsidR="00673319" w:rsidRDefault="00673319" w:rsidP="002A04F2">
    <w:pPr>
      <w:jc w:val="center"/>
      <w:rPr>
        <w:b/>
        <w:bCs/>
      </w:rPr>
    </w:pPr>
  </w:p>
  <w:p w14:paraId="532BFBD7" w14:textId="77777777" w:rsidR="00673319" w:rsidRDefault="00673319" w:rsidP="002A04F2">
    <w:pPr>
      <w:jc w:val="center"/>
      <w:rPr>
        <w:b/>
        <w:bCs/>
      </w:rPr>
    </w:pPr>
  </w:p>
  <w:p w14:paraId="0E0E7AED" w14:textId="4991FFDC" w:rsidR="002A04F2" w:rsidRPr="00C82FFE" w:rsidRDefault="002A04F2" w:rsidP="002A04F2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1FF"/>
    <w:multiLevelType w:val="hybridMultilevel"/>
    <w:tmpl w:val="14AEC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6FDA"/>
    <w:multiLevelType w:val="hybridMultilevel"/>
    <w:tmpl w:val="B71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268"/>
    <w:multiLevelType w:val="hybridMultilevel"/>
    <w:tmpl w:val="4FF03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0D1A50"/>
    <w:multiLevelType w:val="hybridMultilevel"/>
    <w:tmpl w:val="3D6CA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D4946"/>
    <w:multiLevelType w:val="hybridMultilevel"/>
    <w:tmpl w:val="EE143836"/>
    <w:lvl w:ilvl="0" w:tplc="1FFC5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4F"/>
    <w:rsid w:val="0000280C"/>
    <w:rsid w:val="000C01D2"/>
    <w:rsid w:val="002A04F2"/>
    <w:rsid w:val="00373F8D"/>
    <w:rsid w:val="00487905"/>
    <w:rsid w:val="005131E4"/>
    <w:rsid w:val="00534987"/>
    <w:rsid w:val="005363D5"/>
    <w:rsid w:val="00603C8E"/>
    <w:rsid w:val="00673319"/>
    <w:rsid w:val="00827184"/>
    <w:rsid w:val="008356C8"/>
    <w:rsid w:val="0084039F"/>
    <w:rsid w:val="00864AE4"/>
    <w:rsid w:val="00945A0D"/>
    <w:rsid w:val="00961329"/>
    <w:rsid w:val="0098218F"/>
    <w:rsid w:val="00A4096C"/>
    <w:rsid w:val="00AE2EB4"/>
    <w:rsid w:val="00AE3A3D"/>
    <w:rsid w:val="00B35C4F"/>
    <w:rsid w:val="00B40210"/>
    <w:rsid w:val="00BC092B"/>
    <w:rsid w:val="00BE22F5"/>
    <w:rsid w:val="00BF20B0"/>
    <w:rsid w:val="00C10AFE"/>
    <w:rsid w:val="00C67A7A"/>
    <w:rsid w:val="00C82FFE"/>
    <w:rsid w:val="00CC03F8"/>
    <w:rsid w:val="00CE3CBB"/>
    <w:rsid w:val="00D04EAE"/>
    <w:rsid w:val="00D62EC6"/>
    <w:rsid w:val="00D8228F"/>
    <w:rsid w:val="00DE6E34"/>
    <w:rsid w:val="00EA74DC"/>
    <w:rsid w:val="00F127E6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3146D5"/>
  <w15:chartTrackingRefBased/>
  <w15:docId w15:val="{AC240902-4CEE-4338-9E60-7B6072F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4F"/>
  </w:style>
  <w:style w:type="paragraph" w:styleId="Footer">
    <w:name w:val="footer"/>
    <w:basedOn w:val="Normal"/>
    <w:link w:val="FooterChar"/>
    <w:uiPriority w:val="99"/>
    <w:unhideWhenUsed/>
    <w:rsid w:val="00B3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4F"/>
  </w:style>
  <w:style w:type="paragraph" w:styleId="ListParagraph">
    <w:name w:val="List Paragraph"/>
    <w:basedOn w:val="Normal"/>
    <w:uiPriority w:val="34"/>
    <w:qFormat/>
    <w:rsid w:val="00B3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